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E4" w:rsidRPr="006506E4" w:rsidRDefault="006506E4" w:rsidP="006506E4">
      <w:pPr>
        <w:shd w:val="clear" w:color="auto" w:fill="FFFFFF"/>
        <w:spacing w:line="345" w:lineRule="atLeast"/>
        <w:ind w:firstLine="709"/>
        <w:jc w:val="both"/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  <w:fldChar w:fldCharType="begin"/>
      </w:r>
      <w:r w:rsidRPr="006506E4"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  <w:instrText xml:space="preserve"> HYPERLINK "https://www.consultant.ru/document/cons_doc_LAW_44571/" </w:instrText>
      </w:r>
      <w:r w:rsidRPr="006506E4"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  <w:fldChar w:fldCharType="separate"/>
      </w:r>
      <w:r w:rsidRPr="006506E4">
        <w:rPr>
          <w:rFonts w:ascii="PT Astra Serif" w:eastAsia="Times New Roman" w:hAnsi="PT Astra Serif" w:cs="Arial"/>
          <w:b/>
          <w:bCs/>
          <w:color w:val="1A0DAB"/>
          <w:sz w:val="28"/>
          <w:szCs w:val="28"/>
          <w:u w:val="single"/>
          <w:lang w:eastAsia="ru-RU"/>
        </w:rPr>
        <w:t>Федеральный закон от 06.10.2003 N 131-ФЗ (ред. от 04.08.2023) "Об общих принципах организации местного самоуправления в Российской Федерации" (с изм. и доп., вступ. в силу с 01.10.2023)</w:t>
      </w:r>
      <w:r w:rsidRPr="006506E4"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  <w:fldChar w:fldCharType="end"/>
      </w:r>
    </w:p>
    <w:p w:rsidR="00AB46E0" w:rsidRPr="00AB46E0" w:rsidRDefault="00AB46E0" w:rsidP="00AB46E0">
      <w:pPr>
        <w:shd w:val="clear" w:color="auto" w:fill="FFFFFF"/>
        <w:spacing w:after="0" w:line="450" w:lineRule="atLeast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30"/>
          <w:szCs w:val="30"/>
          <w:lang w:eastAsia="ru-RU"/>
        </w:rPr>
      </w:pPr>
      <w:r w:rsidRPr="00AB46E0">
        <w:rPr>
          <w:rFonts w:ascii="PT Astra Serif" w:eastAsia="Times New Roman" w:hAnsi="PT Astra Serif" w:cs="Arial"/>
          <w:b/>
          <w:bCs/>
          <w:color w:val="000000"/>
          <w:kern w:val="36"/>
          <w:sz w:val="30"/>
          <w:szCs w:val="30"/>
          <w:lang w:eastAsia="ru-RU"/>
        </w:rPr>
        <w:t>Статья 7. Муниципальные правовые акты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положений, </w:t>
      </w:r>
      <w:bookmarkStart w:id="0" w:name="_GoBack"/>
      <w:bookmarkEnd w:id="0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установленных соответствующими федеральными законами и (или) законами субъектов Российской Федерации.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Муниципальные правовые акты не должны противоречить </w:t>
      </w:r>
      <w:hyperlink r:id="rId5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Конституции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соответствует </w:t>
      </w:r>
      <w:hyperlink r:id="rId6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Конституции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Российской Федерации, федеральным конституционным законам, федеральным законам, договорам о разграничении предметов ведения</w:t>
      </w:r>
      <w:proofErr w:type="gramEnd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</w:t>
      </w: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самоуправления </w:t>
      </w:r>
      <w:hyperlink r:id="rId7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Конституции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Российской Федерации</w:t>
      </w:r>
      <w:proofErr w:type="gramEnd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 </w:t>
      </w:r>
      <w:hyperlink r:id="rId8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Конституции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</w:t>
      </w:r>
      <w:proofErr w:type="gramEnd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9" w:anchor="dst101300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7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10" w:anchor="dst101300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7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(в ред. Федерального </w:t>
      </w:r>
      <w:hyperlink r:id="rId11" w:anchor="dst100024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01.05.2019 N 87-ФЗ)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12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</w:t>
      </w: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правовыми актами в соответствии с законом субъекта Российской Федерации.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6 в ред. Федерального </w:t>
      </w:r>
      <w:hyperlink r:id="rId13" w:anchor="dst100019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30.12.2015 N 447-ФЗ)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14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6.1. Порядок установления и оценки </w:t>
      </w:r>
      <w:proofErr w:type="gramStart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применения</w:t>
      </w:r>
      <w:proofErr w:type="gramEnd"/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 </w:t>
      </w:r>
      <w:hyperlink r:id="rId15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от 31 июля 2020 года N 247-ФЗ "Об обязательных требованиях в Российской Федерации".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6.1 введена Федеральным </w:t>
      </w:r>
      <w:hyperlink r:id="rId16" w:anchor="dst101640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11.06.2021 N 170-ФЗ)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AB46E0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7 введена Федеральным </w:t>
      </w:r>
      <w:hyperlink r:id="rId17" w:anchor="dst100022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30.12.2015 N 447-ФЗ; в ред. Федерального </w:t>
      </w:r>
      <w:hyperlink r:id="rId18" w:anchor="dst100025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01.05.2019 N 87-ФЗ)</w:t>
      </w:r>
    </w:p>
    <w:p w:rsidR="003B4229" w:rsidRPr="00AB46E0" w:rsidRDefault="00AB46E0" w:rsidP="00AB46E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19" w:history="1">
        <w:r w:rsidRPr="00AB46E0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AB46E0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line="345" w:lineRule="atLeast"/>
        <w:ind w:firstLine="709"/>
        <w:jc w:val="both"/>
        <w:rPr>
          <w:rFonts w:ascii="PT Astra Serif" w:eastAsia="Times New Roman" w:hAnsi="PT Astra Serif" w:cs="Arial"/>
          <w:b/>
          <w:bCs/>
          <w:color w:val="1A0DAB"/>
          <w:sz w:val="28"/>
          <w:szCs w:val="28"/>
          <w:lang w:eastAsia="ru-RU"/>
        </w:rPr>
      </w:pPr>
      <w:hyperlink r:id="rId20" w:history="1">
        <w:r w:rsidRPr="006506E4">
          <w:rPr>
            <w:rFonts w:ascii="PT Astra Serif" w:eastAsia="Times New Roman" w:hAnsi="PT Astra Serif" w:cs="Arial"/>
            <w:b/>
            <w:bCs/>
            <w:color w:val="1A0DAB"/>
            <w:sz w:val="28"/>
            <w:szCs w:val="28"/>
            <w:u w:val="single"/>
            <w:lang w:eastAsia="ru-RU"/>
          </w:rPr>
          <w:t>Федеральный закон от 06.10.2003 N 131-ФЗ (ред. от 04.08.2023) "Об общих принципах организации местного самоуправления в Российской Федерации" (с изм. и доп., вступ. в силу с 01.10.2023)</w:t>
        </w:r>
      </w:hyperlink>
    </w:p>
    <w:p w:rsidR="006506E4" w:rsidRPr="006506E4" w:rsidRDefault="006506E4" w:rsidP="006506E4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Статья 46. Подготовка муниципальных правовых актов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21" w:anchor="dst101308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6</w:t>
        </w:r>
      </w:hyperlink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22" w:anchor="dst101308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6</w:t>
        </w:r>
      </w:hyperlink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в порядке, установленном муниципальными нормативными правовыми актами в соответствии</w:t>
      </w:r>
      <w:proofErr w:type="gramEnd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законом субъекта Российской Федерации, за исключением: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(в ред. Федеральных законов от 01.05.2019 </w:t>
      </w:r>
      <w:hyperlink r:id="rId23" w:anchor="dst100173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N 87-ФЗ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, от 11.06.2021 </w:t>
      </w:r>
      <w:hyperlink r:id="rId24" w:anchor="dst101664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N 170-ФЗ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25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 xml:space="preserve">(п. 3 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6" w:anchor="dst100009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09.11.2020 N 363-ФЗ)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3 в ред. Федерального </w:t>
      </w:r>
      <w:hyperlink r:id="rId27" w:anchor="dst100025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30.12.2015 N 447-ФЗ)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lastRenderedPageBreak/>
        <w:t>(см. те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28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</w:t>
      </w:r>
      <w:proofErr w:type="gramEnd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(в ред. Федерального </w:t>
      </w:r>
      <w:hyperlink r:id="rId29" w:anchor="dst101665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11.06.2021 N 170-ФЗ)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30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 xml:space="preserve">(п. 3 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31" w:anchor="dst100011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09.11.2020 N 363-ФЗ)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4 введена Федеральным </w:t>
      </w:r>
      <w:hyperlink r:id="rId32" w:anchor="dst100029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30.12.2015 N 447-ФЗ)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ч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асть 5 в ред. Федерального </w:t>
      </w:r>
      <w:hyperlink r:id="rId33" w:anchor="dst101666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11.06.2021 N 170-ФЗ)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34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after="0" w:line="36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</w:t>
      </w:r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Pr="006506E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(часть 6 введена Федеральным </w:t>
      </w:r>
      <w:hyperlink r:id="rId35" w:anchor="dst100035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 от 30.12.2015 N 447-ФЗ; в ред. Федеральных законов от 01.05.2019 </w:t>
      </w:r>
      <w:hyperlink r:id="rId36" w:anchor="dst100174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N 87-ФЗ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, от 11.06.2021 </w:t>
      </w:r>
      <w:hyperlink r:id="rId37" w:anchor="dst101668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N 170-ФЗ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shd w:val="clear" w:color="auto" w:fill="FFFFFF"/>
        <w:spacing w:before="210" w:after="0" w:line="360" w:lineRule="atLeast"/>
        <w:ind w:firstLine="709"/>
        <w:jc w:val="both"/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</w:pPr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едыдущей </w:t>
      </w:r>
      <w:hyperlink r:id="rId38" w:history="1">
        <w:r w:rsidRPr="006506E4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506E4">
        <w:rPr>
          <w:rFonts w:ascii="PT Astra Serif" w:eastAsia="Times New Roman" w:hAnsi="PT Astra Serif" w:cs="Times New Roman"/>
          <w:color w:val="828282"/>
          <w:sz w:val="28"/>
          <w:szCs w:val="28"/>
          <w:lang w:eastAsia="ru-RU"/>
        </w:rPr>
        <w:t>)</w:t>
      </w:r>
    </w:p>
    <w:p w:rsidR="006506E4" w:rsidRPr="006506E4" w:rsidRDefault="006506E4" w:rsidP="006506E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506E4" w:rsidRPr="0065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E4"/>
    <w:rsid w:val="003B4229"/>
    <w:rsid w:val="006506E4"/>
    <w:rsid w:val="00A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5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5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9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2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14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6055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75/" TargetMode="External"/><Relationship Id="rId13" Type="http://schemas.openxmlformats.org/officeDocument/2006/relationships/hyperlink" Target="https://www.consultant.ru/document/cons_doc_LAW_420808/b004fed0b70d0f223e4a81f8ad6cd92af90a7e3b/" TargetMode="External"/><Relationship Id="rId18" Type="http://schemas.openxmlformats.org/officeDocument/2006/relationships/hyperlink" Target="https://www.consultant.ru/document/cons_doc_LAW_323814/3d0cac60971a511280cbba229d9b6329c07731f7/" TargetMode="External"/><Relationship Id="rId26" Type="http://schemas.openxmlformats.org/officeDocument/2006/relationships/hyperlink" Target="https://www.consultant.ru/document/cons_doc_LAW_367154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4229/c524c699be4472519e1425576fd7c7a71ab8a6d7/" TargetMode="External"/><Relationship Id="rId34" Type="http://schemas.openxmlformats.org/officeDocument/2006/relationships/hyperlink" Target="https://www.consultant.ru/document/cons_doc_LAW_44571/c524c699be4472519e1425576fd7c7a71ab8a6d7/" TargetMode="External"/><Relationship Id="rId7" Type="http://schemas.openxmlformats.org/officeDocument/2006/relationships/hyperlink" Target="https://www.consultant.ru/document/cons_doc_LAW_2875/" TargetMode="External"/><Relationship Id="rId12" Type="http://schemas.openxmlformats.org/officeDocument/2006/relationships/hyperlink" Target="https://www.consultant.ru/document/cons_doc_LAW_44571/11883b93cda33f91123c3a8971bd67426ee98d60/" TargetMode="External"/><Relationship Id="rId17" Type="http://schemas.openxmlformats.org/officeDocument/2006/relationships/hyperlink" Target="https://www.consultant.ru/document/cons_doc_LAW_420808/b004fed0b70d0f223e4a81f8ad6cd92af90a7e3b/" TargetMode="External"/><Relationship Id="rId25" Type="http://schemas.openxmlformats.org/officeDocument/2006/relationships/hyperlink" Target="https://www.consultant.ru/document/cons_doc_LAW_44571/c524c699be4472519e1425576fd7c7a71ab8a6d7/" TargetMode="External"/><Relationship Id="rId33" Type="http://schemas.openxmlformats.org/officeDocument/2006/relationships/hyperlink" Target="https://www.consultant.ru/document/cons_doc_LAW_440513/b71330d4b14eadfc9080b35c907a89b3f017728f/" TargetMode="External"/><Relationship Id="rId38" Type="http://schemas.openxmlformats.org/officeDocument/2006/relationships/hyperlink" Target="https://www.consultant.ru/document/cons_doc_LAW_44571/c524c699be4472519e1425576fd7c7a71ab8a6d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40513/b71330d4b14eadfc9080b35c907a89b3f017728f/" TargetMode="External"/><Relationship Id="rId20" Type="http://schemas.openxmlformats.org/officeDocument/2006/relationships/hyperlink" Target="https://www.consultant.ru/document/cons_doc_LAW_44571/" TargetMode="External"/><Relationship Id="rId29" Type="http://schemas.openxmlformats.org/officeDocument/2006/relationships/hyperlink" Target="https://www.consultant.ru/document/cons_doc_LAW_440513/b71330d4b14eadfc9080b35c907a89b3f017728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75/" TargetMode="External"/><Relationship Id="rId11" Type="http://schemas.openxmlformats.org/officeDocument/2006/relationships/hyperlink" Target="https://www.consultant.ru/document/cons_doc_LAW_323814/3d0cac60971a511280cbba229d9b6329c07731f7/" TargetMode="External"/><Relationship Id="rId24" Type="http://schemas.openxmlformats.org/officeDocument/2006/relationships/hyperlink" Target="https://www.consultant.ru/document/cons_doc_LAW_440513/b71330d4b14eadfc9080b35c907a89b3f017728f/" TargetMode="External"/><Relationship Id="rId32" Type="http://schemas.openxmlformats.org/officeDocument/2006/relationships/hyperlink" Target="https://www.consultant.ru/document/cons_doc_LAW_420808/b004fed0b70d0f223e4a81f8ad6cd92af90a7e3b/" TargetMode="External"/><Relationship Id="rId37" Type="http://schemas.openxmlformats.org/officeDocument/2006/relationships/hyperlink" Target="https://www.consultant.ru/document/cons_doc_LAW_440513/b71330d4b14eadfc9080b35c907a89b3f017728f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/document/cons_doc_LAW_2875/" TargetMode="External"/><Relationship Id="rId15" Type="http://schemas.openxmlformats.org/officeDocument/2006/relationships/hyperlink" Target="https://www.consultant.ru/document/cons_doc_LAW_427417/" TargetMode="External"/><Relationship Id="rId23" Type="http://schemas.openxmlformats.org/officeDocument/2006/relationships/hyperlink" Target="https://www.consultant.ru/document/cons_doc_LAW_323814/3d0cac60971a511280cbba229d9b6329c07731f7/" TargetMode="External"/><Relationship Id="rId28" Type="http://schemas.openxmlformats.org/officeDocument/2006/relationships/hyperlink" Target="https://www.consultant.ru/document/cons_doc_LAW_44571/c524c699be4472519e1425576fd7c7a71ab8a6d7/" TargetMode="External"/><Relationship Id="rId36" Type="http://schemas.openxmlformats.org/officeDocument/2006/relationships/hyperlink" Target="https://www.consultant.ru/document/cons_doc_LAW_323814/3d0cac60971a511280cbba229d9b6329c07731f7/" TargetMode="External"/><Relationship Id="rId10" Type="http://schemas.openxmlformats.org/officeDocument/2006/relationships/hyperlink" Target="https://www.consultant.ru/document/cons_doc_LAW_454229/11883b93cda33f91123c3a8971bd67426ee98d60/" TargetMode="External"/><Relationship Id="rId19" Type="http://schemas.openxmlformats.org/officeDocument/2006/relationships/hyperlink" Target="https://www.consultant.ru/document/cons_doc_LAW_44571/11883b93cda33f91123c3a8971bd67426ee98d60/" TargetMode="External"/><Relationship Id="rId31" Type="http://schemas.openxmlformats.org/officeDocument/2006/relationships/hyperlink" Target="https://www.consultant.ru/document/cons_doc_LAW_367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229/11883b93cda33f91123c3a8971bd67426ee98d60/" TargetMode="External"/><Relationship Id="rId14" Type="http://schemas.openxmlformats.org/officeDocument/2006/relationships/hyperlink" Target="https://www.consultant.ru/document/cons_doc_LAW_44571/11883b93cda33f91123c3a8971bd67426ee98d60/" TargetMode="External"/><Relationship Id="rId22" Type="http://schemas.openxmlformats.org/officeDocument/2006/relationships/hyperlink" Target="https://www.consultant.ru/document/cons_doc_LAW_454229/c524c699be4472519e1425576fd7c7a71ab8a6d7/" TargetMode="External"/><Relationship Id="rId27" Type="http://schemas.openxmlformats.org/officeDocument/2006/relationships/hyperlink" Target="https://www.consultant.ru/document/cons_doc_LAW_420808/b004fed0b70d0f223e4a81f8ad6cd92af90a7e3b/" TargetMode="External"/><Relationship Id="rId30" Type="http://schemas.openxmlformats.org/officeDocument/2006/relationships/hyperlink" Target="https://www.consultant.ru/document/cons_doc_LAW_44571/c524c699be4472519e1425576fd7c7a71ab8a6d7/" TargetMode="External"/><Relationship Id="rId35" Type="http://schemas.openxmlformats.org/officeDocument/2006/relationships/hyperlink" Target="https://www.consultant.ru/document/cons_doc_LAW_420808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Artamonova_TB</dc:creator>
  <cp:lastModifiedBy>Artamonova_TB</cp:lastModifiedBy>
  <cp:revision>3</cp:revision>
  <dcterms:created xsi:type="dcterms:W3CDTF">2023-10-04T04:26:00Z</dcterms:created>
  <dcterms:modified xsi:type="dcterms:W3CDTF">2023-10-04T04:31:00Z</dcterms:modified>
</cp:coreProperties>
</file>