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 xml:space="preserve">Эпидемиологическая ситуация на территории муниципального образования «Радищевский район» с </w:t>
      </w:r>
      <w:r w:rsidR="001C03CD">
        <w:rPr>
          <w:rFonts w:ascii="PT Astra Serif" w:hAnsi="PT Astra Serif"/>
          <w:b/>
          <w:sz w:val="28"/>
          <w:szCs w:val="28"/>
        </w:rPr>
        <w:t>01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1C03CD">
        <w:rPr>
          <w:rFonts w:ascii="PT Astra Serif" w:hAnsi="PT Astra Serif"/>
          <w:b/>
          <w:sz w:val="28"/>
          <w:szCs w:val="28"/>
        </w:rPr>
        <w:t>6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1C03CD">
        <w:rPr>
          <w:rFonts w:ascii="PT Astra Serif" w:hAnsi="PT Astra Serif"/>
          <w:b/>
          <w:sz w:val="28"/>
          <w:szCs w:val="28"/>
        </w:rPr>
        <w:t>07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1C03CD">
        <w:rPr>
          <w:rFonts w:ascii="PT Astra Serif" w:hAnsi="PT Astra Serif"/>
          <w:b/>
          <w:sz w:val="28"/>
          <w:szCs w:val="28"/>
        </w:rPr>
        <w:t>6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–0. Максимальный многолетний уровень не превышен. Заболеваемость среди детей ОКИ абсолютные цифры  -0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случаев, показатель  на 100 тыс. детского населения -0.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C0125D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–0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9F5ED2" w:rsidRPr="009F5ED2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CB197D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CB197D">
        <w:rPr>
          <w:rFonts w:ascii="PT Astra Serif" w:hAnsi="PT Astra Serif"/>
          <w:b/>
          <w:sz w:val="28"/>
          <w:szCs w:val="28"/>
        </w:rPr>
        <w:t>1</w:t>
      </w:r>
      <w:bookmarkStart w:id="0" w:name="_GoBack"/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0F016B" w:rsidRPr="000F016B">
        <w:rPr>
          <w:rFonts w:ascii="PT Astra Serif" w:hAnsi="PT Astra Serif"/>
          <w:b/>
          <w:sz w:val="28"/>
          <w:szCs w:val="28"/>
        </w:rPr>
        <w:t>1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1C03CD"/>
    <w:rsid w:val="00387EDE"/>
    <w:rsid w:val="00424B5B"/>
    <w:rsid w:val="008702E7"/>
    <w:rsid w:val="009E5DAC"/>
    <w:rsid w:val="009F5ED2"/>
    <w:rsid w:val="00C0125D"/>
    <w:rsid w:val="00C057A3"/>
    <w:rsid w:val="00CB197D"/>
    <w:rsid w:val="00C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2201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2023-06-08T07:15:00Z</dcterms:created>
  <dcterms:modified xsi:type="dcterms:W3CDTF">2023-06-08T07:17:00Z</dcterms:modified>
</cp:coreProperties>
</file>