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8F3BE7" w:rsidRDefault="008F3BE7" w:rsidP="008F3BE7">
      <w:pPr>
        <w:ind w:left="124" w:right="100"/>
        <w:jc w:val="center"/>
        <w:rPr>
          <w:rFonts w:ascii="PT Astra Serif" w:hAnsi="PT Astra Serif"/>
          <w:b/>
          <w:sz w:val="28"/>
          <w:szCs w:val="28"/>
        </w:rPr>
      </w:pPr>
      <w:r w:rsidRPr="008F3BE7">
        <w:rPr>
          <w:rFonts w:ascii="PT Astra Serif" w:hAnsi="PT Astra Serif"/>
          <w:b/>
          <w:sz w:val="28"/>
          <w:szCs w:val="28"/>
        </w:rPr>
        <w:t xml:space="preserve">О внесении изменений в Порядок взаимодействия заказчиков </w:t>
      </w:r>
    </w:p>
    <w:p w:rsidR="008F3BE7" w:rsidRPr="008F3BE7" w:rsidRDefault="008F3BE7" w:rsidP="008F3BE7">
      <w:pPr>
        <w:ind w:left="124" w:right="100"/>
        <w:jc w:val="center"/>
        <w:rPr>
          <w:rFonts w:ascii="PT Astra Serif" w:hAnsi="PT Astra Serif"/>
          <w:b/>
          <w:sz w:val="28"/>
          <w:szCs w:val="28"/>
        </w:rPr>
      </w:pPr>
      <w:r w:rsidRPr="008F3BE7">
        <w:rPr>
          <w:rFonts w:ascii="PT Astra Serif" w:hAnsi="PT Astra Serif"/>
          <w:b/>
          <w:sz w:val="28"/>
          <w:szCs w:val="28"/>
        </w:rPr>
        <w:t>с уполномоченным органом</w:t>
      </w:r>
    </w:p>
    <w:p w:rsidR="008F3BE7" w:rsidRPr="008F3BE7" w:rsidRDefault="008F3BE7" w:rsidP="008F3BE7">
      <w:pPr>
        <w:pStyle w:val="a5"/>
        <w:spacing w:line="312" w:lineRule="exact"/>
        <w:ind w:right="580"/>
        <w:rPr>
          <w:rFonts w:ascii="PT Astra Serif" w:eastAsia="Arial Unicode MS" w:hAnsi="PT Astra Serif" w:cs="Arial Unicode MS"/>
          <w:b/>
          <w:sz w:val="28"/>
          <w:szCs w:val="28"/>
        </w:rPr>
      </w:pPr>
    </w:p>
    <w:p w:rsidR="008F3BE7" w:rsidRPr="008F3BE7" w:rsidRDefault="008F3BE7" w:rsidP="008F3BE7">
      <w:pPr>
        <w:shd w:val="clear" w:color="auto" w:fill="FFFFFF"/>
        <w:rPr>
          <w:rFonts w:ascii="PT Astra Serif" w:eastAsia="Arial Unicode MS" w:hAnsi="PT Astra Serif" w:cs="Arial Unicode MS"/>
          <w:b/>
          <w:bCs/>
          <w:sz w:val="28"/>
          <w:szCs w:val="28"/>
        </w:rPr>
      </w:pPr>
    </w:p>
    <w:p w:rsidR="008F3BE7" w:rsidRPr="008F3BE7" w:rsidRDefault="008F3BE7" w:rsidP="008F3BE7">
      <w:pPr>
        <w:pStyle w:val="a5"/>
        <w:spacing w:after="0"/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В соответствии с Федеральным законом от 05.04.2013 № 44–ФЗ </w:t>
      </w:r>
      <w:r>
        <w:rPr>
          <w:rFonts w:ascii="PT Astra Serif" w:hAnsi="PT Astra Serif" w:cs="Tahoma"/>
          <w:sz w:val="28"/>
          <w:szCs w:val="28"/>
        </w:rPr>
        <w:br/>
        <w:t xml:space="preserve">«О </w:t>
      </w:r>
      <w:r w:rsidRPr="008F3BE7">
        <w:rPr>
          <w:rFonts w:ascii="PT Astra Serif" w:hAnsi="PT Astra Serif" w:cs="Tahoma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нужд»,</w:t>
      </w:r>
      <w:r w:rsidRPr="008F3BE7">
        <w:rPr>
          <w:rFonts w:ascii="PT Astra Serif" w:hAnsi="PT Astra Serif"/>
          <w:sz w:val="28"/>
          <w:szCs w:val="28"/>
        </w:rPr>
        <w:t xml:space="preserve"> Администрация </w:t>
      </w:r>
      <w:r w:rsidRPr="008F3BE7">
        <w:rPr>
          <w:rFonts w:ascii="PT Astra Serif" w:hAnsi="PT Astra Serif" w:cs="Tahoma"/>
          <w:sz w:val="28"/>
          <w:szCs w:val="28"/>
        </w:rPr>
        <w:t xml:space="preserve">муниципального образования «Радищевский район» Ульяновской области </w:t>
      </w:r>
      <w:r>
        <w:rPr>
          <w:rFonts w:ascii="PT Astra Serif" w:hAnsi="PT Astra Serif" w:cs="Tahoma"/>
          <w:sz w:val="28"/>
          <w:szCs w:val="28"/>
        </w:rPr>
        <w:t xml:space="preserve"> </w:t>
      </w:r>
      <w:proofErr w:type="gramStart"/>
      <w:r w:rsidRPr="008F3BE7">
        <w:rPr>
          <w:rFonts w:ascii="PT Astra Serif" w:hAnsi="PT Astra Serif" w:cs="Tahoma"/>
          <w:sz w:val="28"/>
          <w:szCs w:val="28"/>
        </w:rPr>
        <w:t>п</w:t>
      </w:r>
      <w:proofErr w:type="gramEnd"/>
      <w:r w:rsidRPr="008F3BE7">
        <w:rPr>
          <w:rFonts w:ascii="PT Astra Serif" w:hAnsi="PT Astra Serif" w:cs="Tahoma"/>
          <w:sz w:val="28"/>
          <w:szCs w:val="28"/>
        </w:rPr>
        <w:t xml:space="preserve"> о с т а н о в л я е т:</w:t>
      </w:r>
    </w:p>
    <w:p w:rsidR="008F3BE7" w:rsidRPr="008F3BE7" w:rsidRDefault="008F3BE7" w:rsidP="008F3BE7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>Внести в Порядок взаимодействия заказчиков с уполномоченным органом, утверждённый постановлением Администрации муниципального образования «Радищевский район» Ульяновской области от 21.10.2021 № 651 «О назначении уполномоченного органа, осуществляющего полномочия на определение поставщиков (подрядчиков, исполнителей)», следующие изменения:</w:t>
      </w:r>
    </w:p>
    <w:p w:rsidR="008F3BE7" w:rsidRPr="008F3BE7" w:rsidRDefault="008F3BE7" w:rsidP="008F3BE7">
      <w:pPr>
        <w:shd w:val="clear" w:color="auto" w:fill="FFFFFF"/>
        <w:jc w:val="both"/>
        <w:rPr>
          <w:rFonts w:ascii="PT Astra Serif" w:eastAsia="Arial Unicode MS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>1) пункт 1 изложить в следующей редакции:</w:t>
      </w:r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hAnsi="PT Astra Serif" w:cs="Arial Unicode MS"/>
          <w:color w:val="000000"/>
          <w:sz w:val="28"/>
          <w:szCs w:val="24"/>
        </w:rPr>
      </w:pPr>
      <w:r w:rsidRPr="008F3BE7">
        <w:rPr>
          <w:rFonts w:ascii="PT Astra Serif" w:hAnsi="PT Astra Serif" w:cs="Tahoma"/>
          <w:sz w:val="28"/>
          <w:szCs w:val="28"/>
        </w:rPr>
        <w:t xml:space="preserve">«1. </w:t>
      </w:r>
      <w:proofErr w:type="gramStart"/>
      <w:r w:rsidRPr="008F3BE7">
        <w:rPr>
          <w:rFonts w:ascii="PT Astra Serif" w:hAnsi="PT Astra Serif" w:cs="Tahoma"/>
          <w:sz w:val="28"/>
          <w:szCs w:val="28"/>
        </w:rPr>
        <w:t xml:space="preserve">Настоящий Порядок в соответствии со </w:t>
      </w:r>
      <w:hyperlink r:id="rId9" w:history="1">
        <w:r w:rsidRPr="008F3BE7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статьей 26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устанавливает правила взаимодействия Администрации муниципального образования «Радищевский район» Ульяновской области как органа, уполномоченного на определение поставщиков (подрядчиков, исполнителей) (</w:t>
      </w:r>
      <w:r>
        <w:rPr>
          <w:rFonts w:ascii="PT Astra Serif" w:hAnsi="PT Astra Serif" w:cs="Tahoma"/>
          <w:sz w:val="28"/>
          <w:szCs w:val="28"/>
        </w:rPr>
        <w:t xml:space="preserve">далее - уполномоченный орган), </w:t>
      </w:r>
      <w:r w:rsidRPr="008F3BE7">
        <w:rPr>
          <w:rFonts w:ascii="PT Astra Serif" w:hAnsi="PT Astra Serif"/>
          <w:sz w:val="28"/>
        </w:rPr>
        <w:t xml:space="preserve">с муниципальными заказчиками муниципального образования </w:t>
      </w:r>
      <w:r w:rsidRPr="008F3BE7">
        <w:rPr>
          <w:rFonts w:ascii="PT Astra Serif" w:hAnsi="PT Astra Serif" w:cs="Tahoma"/>
          <w:sz w:val="28"/>
          <w:szCs w:val="28"/>
        </w:rPr>
        <w:t>«Радищевский</w:t>
      </w:r>
      <w:proofErr w:type="gramEnd"/>
      <w:r w:rsidRPr="008F3BE7">
        <w:rPr>
          <w:rFonts w:ascii="PT Astra Serif" w:hAnsi="PT Astra Serif" w:cs="Tahoma"/>
          <w:sz w:val="28"/>
          <w:szCs w:val="28"/>
        </w:rPr>
        <w:t xml:space="preserve"> </w:t>
      </w:r>
      <w:proofErr w:type="gramStart"/>
      <w:r w:rsidRPr="008F3BE7">
        <w:rPr>
          <w:rFonts w:ascii="PT Astra Serif" w:hAnsi="PT Astra Serif" w:cs="Tahoma"/>
          <w:sz w:val="28"/>
          <w:szCs w:val="28"/>
        </w:rPr>
        <w:t>район» Ульяновской области</w:t>
      </w:r>
      <w:r w:rsidRPr="008F3BE7">
        <w:rPr>
          <w:rFonts w:ascii="PT Astra Serif" w:hAnsi="PT Astra Serif" w:cs="Tahoma"/>
          <w:color w:val="FF0000"/>
          <w:sz w:val="28"/>
          <w:szCs w:val="28"/>
        </w:rPr>
        <w:t xml:space="preserve"> </w:t>
      </w:r>
      <w:r w:rsidRPr="008F3BE7">
        <w:rPr>
          <w:rFonts w:ascii="PT Astra Serif" w:hAnsi="PT Astra Serif"/>
          <w:sz w:val="28"/>
        </w:rPr>
        <w:t>(в том числе Администрациями сельских поселений муниципального образования «</w:t>
      </w:r>
      <w:r w:rsidRPr="008F3BE7">
        <w:rPr>
          <w:rFonts w:ascii="PT Astra Serif" w:hAnsi="PT Astra Serif" w:cs="Tahoma"/>
          <w:sz w:val="28"/>
          <w:szCs w:val="28"/>
        </w:rPr>
        <w:t>Радищевский район</w:t>
      </w:r>
      <w:r w:rsidRPr="008F3BE7">
        <w:rPr>
          <w:rFonts w:ascii="PT Astra Serif" w:hAnsi="PT Astra Serif"/>
          <w:sz w:val="28"/>
        </w:rPr>
        <w:t>»</w:t>
      </w:r>
      <w:r w:rsidRPr="008F3BE7">
        <w:rPr>
          <w:rFonts w:ascii="PT Astra Serif" w:hAnsi="PT Astra Serif" w:cs="Tahoma"/>
          <w:sz w:val="28"/>
          <w:szCs w:val="28"/>
        </w:rPr>
        <w:t xml:space="preserve"> Ульяновской области</w:t>
      </w:r>
      <w:r w:rsidRPr="008F3BE7">
        <w:rPr>
          <w:rFonts w:ascii="PT Astra Serif" w:hAnsi="PT Astra Serif"/>
          <w:sz w:val="28"/>
        </w:rPr>
        <w:t xml:space="preserve">) и муниципальными бюджетными учреждениями </w:t>
      </w:r>
      <w:r w:rsidRPr="008F3BE7">
        <w:rPr>
          <w:rFonts w:ascii="PT Astra Serif" w:hAnsi="PT Astra Serif" w:cs="Tahoma"/>
          <w:sz w:val="28"/>
          <w:szCs w:val="28"/>
        </w:rPr>
        <w:t>муниципального образования «Радищевский  район» Ульяновской области</w:t>
      </w:r>
      <w:r w:rsidRPr="008F3BE7">
        <w:rPr>
          <w:rFonts w:ascii="PT Astra Serif" w:hAnsi="PT Astra Serif"/>
          <w:sz w:val="28"/>
        </w:rPr>
        <w:t xml:space="preserve"> (далее – заказчики), при осуществлении закупок товаров, работ, услуг для обеспечения муниципальных нужд муниципального образования </w:t>
      </w:r>
      <w:r w:rsidRPr="008F3BE7">
        <w:rPr>
          <w:rFonts w:ascii="PT Astra Serif" w:hAnsi="PT Astra Serif" w:cs="Tahoma"/>
          <w:sz w:val="28"/>
          <w:szCs w:val="28"/>
        </w:rPr>
        <w:t>«Радищевский район» Ульяновской области</w:t>
      </w:r>
      <w:r w:rsidRPr="008F3BE7">
        <w:rPr>
          <w:rFonts w:ascii="PT Astra Serif" w:hAnsi="PT Astra Serif"/>
          <w:sz w:val="28"/>
        </w:rPr>
        <w:t xml:space="preserve"> (далее – закупки).»;</w:t>
      </w:r>
      <w:proofErr w:type="gramEnd"/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 w:rsidRPr="008F3BE7">
        <w:rPr>
          <w:rFonts w:ascii="PT Astra Serif" w:hAnsi="PT Astra Serif"/>
          <w:sz w:val="28"/>
        </w:rPr>
        <w:t>2) абзац четвёртый подпункта 2.4 пункта 2 признать утратившим силу;</w:t>
      </w:r>
    </w:p>
    <w:p w:rsidR="008F3BE7" w:rsidRPr="008F3BE7" w:rsidRDefault="008F3BE7" w:rsidP="008F3BE7">
      <w:pPr>
        <w:shd w:val="clear" w:color="auto" w:fill="FFFFFF"/>
        <w:jc w:val="both"/>
        <w:rPr>
          <w:rFonts w:ascii="PT Astra Serif" w:hAnsi="PT Astra Serif"/>
          <w:sz w:val="28"/>
        </w:rPr>
      </w:pPr>
      <w:r w:rsidRPr="008F3BE7">
        <w:rPr>
          <w:rFonts w:ascii="PT Astra Serif" w:hAnsi="PT Astra Serif"/>
          <w:sz w:val="28"/>
        </w:rPr>
        <w:lastRenderedPageBreak/>
        <w:t>3) в подпункте 3.3 пункта 3:</w:t>
      </w:r>
    </w:p>
    <w:p w:rsidR="008F3BE7" w:rsidRPr="008F3BE7" w:rsidRDefault="008F3BE7" w:rsidP="008F3BE7">
      <w:pPr>
        <w:shd w:val="clear" w:color="auto" w:fill="FFFFFF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>а) подпункты 4 и 5 изложить в следующей редакции:</w:t>
      </w:r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4"/>
        </w:rPr>
      </w:pPr>
      <w:r w:rsidRPr="008F3BE7">
        <w:rPr>
          <w:rFonts w:ascii="PT Astra Serif" w:hAnsi="PT Astra Serif"/>
          <w:sz w:val="28"/>
        </w:rPr>
        <w:t>«4) обоснование начальной (максимальной) цены контракта, начальных цен единиц товара, работы, услуги;</w:t>
      </w:r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8F3BE7">
        <w:rPr>
          <w:rFonts w:ascii="PT Astra Serif" w:hAnsi="PT Astra Serif"/>
          <w:sz w:val="28"/>
        </w:rPr>
        <w:t xml:space="preserve">5) информацию (при наличии), предусмотренную правилами использования каталога товаров, работ, услуг для обеспечения государственных и муниципальных нужд (далее - КТРУ), установленными в соответствии с </w:t>
      </w:r>
      <w:hyperlink r:id="rId10" w:history="1">
        <w:r w:rsidRPr="008F3BE7">
          <w:rPr>
            <w:rStyle w:val="a8"/>
            <w:rFonts w:ascii="PT Astra Serif" w:hAnsi="PT Astra Serif"/>
            <w:color w:val="000000"/>
            <w:sz w:val="28"/>
            <w:u w:val="none"/>
          </w:rPr>
          <w:t>частью 6 статьи 23</w:t>
        </w:r>
      </w:hyperlink>
      <w:r w:rsidRPr="008F3BE7">
        <w:rPr>
          <w:rFonts w:ascii="PT Astra Serif" w:hAnsi="PT Astra Serif"/>
          <w:sz w:val="28"/>
        </w:rPr>
        <w:t xml:space="preserve"> Федерального закона от 05.04.2013 </w:t>
      </w:r>
      <w:r w:rsidRPr="008F3BE7">
        <w:rPr>
          <w:rFonts w:ascii="PT Astra Serif" w:hAnsi="PT Astra Serif" w:cs="Tahoma"/>
          <w:sz w:val="28"/>
          <w:szCs w:val="28"/>
        </w:rPr>
        <w:t>№</w:t>
      </w:r>
      <w:r w:rsidRPr="008F3BE7">
        <w:rPr>
          <w:rFonts w:ascii="PT Astra Serif" w:hAnsi="PT Astra Serif"/>
          <w:sz w:val="28"/>
        </w:rPr>
        <w:t xml:space="preserve"> 44-ФЗ, указание (в случае осуществления закупки лекарственных средств) на международные непатентованные наименования лекарственных средств или при отсутствии таких наименований - на химические, </w:t>
      </w:r>
      <w:proofErr w:type="spellStart"/>
      <w:r w:rsidRPr="008F3BE7">
        <w:rPr>
          <w:rFonts w:ascii="PT Astra Serif" w:hAnsi="PT Astra Serif"/>
          <w:sz w:val="28"/>
        </w:rPr>
        <w:t>группировочные</w:t>
      </w:r>
      <w:proofErr w:type="spellEnd"/>
      <w:r w:rsidRPr="008F3BE7">
        <w:rPr>
          <w:rFonts w:ascii="PT Astra Serif" w:hAnsi="PT Astra Serif"/>
          <w:sz w:val="28"/>
        </w:rPr>
        <w:t xml:space="preserve"> наименования.</w:t>
      </w:r>
      <w:proofErr w:type="gramEnd"/>
      <w:r w:rsidRPr="008F3BE7">
        <w:rPr>
          <w:rFonts w:ascii="PT Astra Serif" w:hAnsi="PT Astra Serif"/>
          <w:sz w:val="28"/>
        </w:rPr>
        <w:t xml:space="preserve"> Указание на код позиции товара, работы, услуги согласно КТРУ, а в случае отсутствия соответствующего кода в КТРУ - на код позиции товара, работы, услуги по Общероссийскому </w:t>
      </w:r>
      <w:hyperlink r:id="rId11" w:history="1">
        <w:r w:rsidRPr="008F3BE7">
          <w:rPr>
            <w:rStyle w:val="a8"/>
            <w:rFonts w:ascii="PT Astra Serif" w:hAnsi="PT Astra Serif"/>
            <w:color w:val="auto"/>
            <w:sz w:val="28"/>
            <w:u w:val="none"/>
          </w:rPr>
          <w:t>классификатору</w:t>
        </w:r>
      </w:hyperlink>
      <w:r w:rsidRPr="008F3BE7">
        <w:rPr>
          <w:rFonts w:ascii="PT Astra Serif" w:hAnsi="PT Astra Serif"/>
          <w:sz w:val="28"/>
        </w:rPr>
        <w:t xml:space="preserve"> продукции по видам экономической деятельности</w:t>
      </w:r>
      <w:proofErr w:type="gramStart"/>
      <w:r w:rsidRPr="008F3BE7">
        <w:rPr>
          <w:rFonts w:ascii="PT Astra Serif" w:hAnsi="PT Astra Serif"/>
          <w:sz w:val="28"/>
        </w:rPr>
        <w:t>;»</w:t>
      </w:r>
      <w:proofErr w:type="gramEnd"/>
      <w:r w:rsidRPr="008F3BE7">
        <w:rPr>
          <w:rFonts w:ascii="PT Astra Serif" w:hAnsi="PT Astra Serif"/>
          <w:sz w:val="28"/>
        </w:rPr>
        <w:t>;</w:t>
      </w:r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/>
          <w:sz w:val="28"/>
        </w:rPr>
        <w:t>б)</w:t>
      </w:r>
      <w:r w:rsidRPr="008F3BE7">
        <w:rPr>
          <w:rFonts w:ascii="PT Astra Serif" w:hAnsi="PT Astra Serif" w:cs="Tahoma"/>
          <w:sz w:val="28"/>
          <w:szCs w:val="28"/>
        </w:rPr>
        <w:t xml:space="preserve"> подпункты 10-13 изложить в следующей редакции:</w:t>
      </w:r>
    </w:p>
    <w:p w:rsidR="008F3BE7" w:rsidRPr="008F3BE7" w:rsidRDefault="008F3BE7" w:rsidP="008F3BE7">
      <w:pPr>
        <w:pStyle w:val="ConsPlusNormal"/>
        <w:ind w:firstLine="709"/>
        <w:jc w:val="both"/>
        <w:rPr>
          <w:rFonts w:ascii="PT Astra Serif" w:hAnsi="PT Astra Serif" w:cs="Tahoma"/>
          <w:sz w:val="28"/>
          <w:szCs w:val="28"/>
        </w:rPr>
      </w:pPr>
      <w:proofErr w:type="gramStart"/>
      <w:r w:rsidRPr="008F3BE7">
        <w:rPr>
          <w:rFonts w:ascii="PT Astra Serif" w:hAnsi="PT Astra Serif" w:cs="Tahoma"/>
          <w:sz w:val="28"/>
          <w:szCs w:val="28"/>
        </w:rPr>
        <w:t xml:space="preserve">«10) начальную (максимальную) цену контракта (цену отдельных этапов исполнения контракта, если проектом контракта предусмотрены такие этапы), источник финансирования, наименование валюты в соответствии с Общероссийским классификатором валют, в случае, предусмотренном </w:t>
      </w:r>
      <w:hyperlink r:id="rId12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частью 24 статьи 22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Федерального закона от 05.04.2013 № 44-ФЗ, - начальную цену единицы товара, работы, услуги, а также начальную сумму цен указанных единиц и максимальное значение цены контракта, а в случаях, установленных</w:t>
      </w:r>
      <w:proofErr w:type="gramEnd"/>
      <w:r w:rsidRPr="008F3BE7">
        <w:rPr>
          <w:rFonts w:ascii="PT Astra Serif" w:hAnsi="PT Astra Serif" w:cs="Tahoma"/>
          <w:sz w:val="28"/>
          <w:szCs w:val="28"/>
        </w:rPr>
        <w:t xml:space="preserve"> Правительством Российской Федерации в соответствии с </w:t>
      </w:r>
      <w:hyperlink r:id="rId13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частью 2 статьи 34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Федерального закона от 05.04.2013 № 44-ФЗ, - также ориентировочное значение цены контракта либо формулу цены и максимальное значение цены контракта;</w:t>
      </w:r>
    </w:p>
    <w:p w:rsidR="008F3BE7" w:rsidRPr="008F3BE7" w:rsidRDefault="008F3BE7" w:rsidP="008F3BE7">
      <w:pPr>
        <w:pStyle w:val="ConsPlusNormal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>11) размер аванса (если проектом контракта предусмотрена выплата аванса);</w:t>
      </w:r>
    </w:p>
    <w:p w:rsidR="008F3BE7" w:rsidRPr="008F3BE7" w:rsidRDefault="008F3BE7" w:rsidP="008F3BE7">
      <w:pPr>
        <w:pStyle w:val="ConsPlusNormal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 xml:space="preserve">12) критерии оценки заявок на участие в конкурсах, величины значимости этих критериев в соответствии с Федеральным </w:t>
      </w:r>
      <w:hyperlink r:id="rId14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от 05.04.2013 № 44-ФЗ, порядок рассмотрения и оценки заявок на участие в конкурсе;</w:t>
      </w:r>
    </w:p>
    <w:p w:rsidR="008F3BE7" w:rsidRPr="008F3BE7" w:rsidRDefault="008F3BE7" w:rsidP="008F3BE7">
      <w:pPr>
        <w:pStyle w:val="ConsPlusNormal"/>
        <w:ind w:firstLine="709"/>
        <w:jc w:val="both"/>
        <w:rPr>
          <w:rFonts w:ascii="PT Astra Serif" w:hAnsi="PT Astra Serif" w:cs="Tahoma"/>
          <w:sz w:val="28"/>
          <w:szCs w:val="28"/>
        </w:rPr>
      </w:pPr>
      <w:proofErr w:type="gramStart"/>
      <w:r w:rsidRPr="008F3BE7">
        <w:rPr>
          <w:rFonts w:ascii="PT Astra Serif" w:hAnsi="PT Astra Serif" w:cs="Tahoma"/>
          <w:sz w:val="28"/>
          <w:szCs w:val="28"/>
        </w:rPr>
        <w:t xml:space="preserve">13) требования, предъявляемые к участникам закупки в соответствии с </w:t>
      </w:r>
      <w:hyperlink r:id="rId15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частью 1 статьи 31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Федерального закона от 05.04.2013 № 44-ФЗ, требования, предъявляемые к участникам закупки в соответствии с </w:t>
      </w:r>
      <w:hyperlink r:id="rId16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частями 2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и </w:t>
      </w:r>
      <w:hyperlink r:id="rId17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2.1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(при наличии таких требований) </w:t>
      </w:r>
      <w:hyperlink r:id="rId18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статьи 31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Федерального закона от 05.04.2013          № 44-ФЗ,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</w:t>
      </w:r>
      <w:proofErr w:type="gramEnd"/>
      <w:r w:rsidRPr="008F3BE7">
        <w:rPr>
          <w:rFonts w:ascii="PT Astra Serif" w:hAnsi="PT Astra Serif" w:cs="Tahoma"/>
          <w:sz w:val="28"/>
          <w:szCs w:val="28"/>
        </w:rPr>
        <w:t xml:space="preserve"> с </w:t>
      </w:r>
      <w:hyperlink r:id="rId19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частью 1.1 статьи 31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Федерального закона от 05.04.2013 № 44-ФЗ</w:t>
      </w:r>
      <w:proofErr w:type="gramStart"/>
      <w:r w:rsidRPr="008F3BE7">
        <w:rPr>
          <w:rFonts w:ascii="PT Astra Serif" w:hAnsi="PT Astra Serif" w:cs="Tahoma"/>
          <w:sz w:val="28"/>
          <w:szCs w:val="28"/>
        </w:rPr>
        <w:t>;»</w:t>
      </w:r>
      <w:proofErr w:type="gramEnd"/>
      <w:r w:rsidRPr="008F3BE7">
        <w:rPr>
          <w:rFonts w:ascii="PT Astra Serif" w:hAnsi="PT Astra Serif" w:cs="Tahoma"/>
          <w:sz w:val="28"/>
          <w:szCs w:val="28"/>
        </w:rPr>
        <w:t>;</w:t>
      </w:r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>в)</w:t>
      </w:r>
      <w:r w:rsidRPr="008F3BE7">
        <w:rPr>
          <w:rFonts w:ascii="PT Astra Serif" w:hAnsi="PT Astra Serif"/>
          <w:sz w:val="28"/>
        </w:rPr>
        <w:t xml:space="preserve"> </w:t>
      </w:r>
      <w:r w:rsidRPr="008F3BE7">
        <w:rPr>
          <w:rFonts w:ascii="PT Astra Serif" w:hAnsi="PT Astra Serif" w:cs="Tahoma"/>
          <w:sz w:val="28"/>
          <w:szCs w:val="28"/>
        </w:rPr>
        <w:t>подпункт 20 изложить в следующей редакции:</w:t>
      </w:r>
    </w:p>
    <w:p w:rsidR="008F3BE7" w:rsidRPr="008F3BE7" w:rsidRDefault="008F3BE7" w:rsidP="008F3BE7">
      <w:pPr>
        <w:pStyle w:val="ConsPlusNormal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 xml:space="preserve">«20) информацию о банковском сопровождении контракта в соответствии со </w:t>
      </w:r>
      <w:hyperlink r:id="rId20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статьей 35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Федерального закона от 05.04.2013 № 44-ФЗ, о казначейском сопровождении (если в соответствии с законодательством Российской </w:t>
      </w:r>
      <w:r w:rsidRPr="008F3BE7">
        <w:rPr>
          <w:rFonts w:ascii="PT Astra Serif" w:hAnsi="PT Astra Serif" w:cs="Tahoma"/>
          <w:sz w:val="28"/>
          <w:szCs w:val="28"/>
        </w:rPr>
        <w:lastRenderedPageBreak/>
        <w:t>Федерации расчёты по контракту или расчёты по контракту в части выплаты аванса подлежат казначейскому сопровождению)</w:t>
      </w:r>
      <w:proofErr w:type="gramStart"/>
      <w:r w:rsidRPr="008F3BE7">
        <w:rPr>
          <w:rFonts w:ascii="PT Astra Serif" w:hAnsi="PT Astra Serif" w:cs="Tahoma"/>
          <w:sz w:val="28"/>
          <w:szCs w:val="28"/>
        </w:rPr>
        <w:t>;»</w:t>
      </w:r>
      <w:proofErr w:type="gramEnd"/>
      <w:r w:rsidRPr="008F3BE7">
        <w:rPr>
          <w:rFonts w:ascii="PT Astra Serif" w:hAnsi="PT Astra Serif" w:cs="Tahoma"/>
          <w:sz w:val="28"/>
          <w:szCs w:val="28"/>
        </w:rPr>
        <w:t>;</w:t>
      </w:r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hAnsi="PT Astra Serif" w:cs="Arial Unicode MS"/>
          <w:sz w:val="28"/>
          <w:szCs w:val="24"/>
        </w:rPr>
      </w:pPr>
      <w:r w:rsidRPr="008F3BE7">
        <w:rPr>
          <w:rFonts w:ascii="PT Astra Serif" w:hAnsi="PT Astra Serif"/>
          <w:sz w:val="28"/>
        </w:rPr>
        <w:t>г)</w:t>
      </w:r>
      <w:r w:rsidRPr="008F3BE7">
        <w:rPr>
          <w:rFonts w:ascii="PT Astra Serif" w:hAnsi="PT Astra Serif" w:cs="Tahoma"/>
          <w:sz w:val="28"/>
          <w:szCs w:val="28"/>
        </w:rPr>
        <w:t xml:space="preserve"> подпункт 24 изложить в следующей редакции:</w:t>
      </w:r>
    </w:p>
    <w:p w:rsidR="008F3BE7" w:rsidRPr="008F3BE7" w:rsidRDefault="008F3BE7" w:rsidP="008F3BE7">
      <w:pPr>
        <w:pStyle w:val="ConsPlusNormal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>«24) сведения о согласовании осуществления закупки главным распорядителем бюджетных сре</w:t>
      </w:r>
      <w:proofErr w:type="gramStart"/>
      <w:r w:rsidRPr="008F3BE7">
        <w:rPr>
          <w:rFonts w:ascii="PT Astra Serif" w:hAnsi="PT Astra Serif" w:cs="Tahoma"/>
          <w:sz w:val="28"/>
          <w:szCs w:val="28"/>
        </w:rPr>
        <w:t>дств в сл</w:t>
      </w:r>
      <w:proofErr w:type="gramEnd"/>
      <w:r w:rsidRPr="008F3BE7">
        <w:rPr>
          <w:rFonts w:ascii="PT Astra Serif" w:hAnsi="PT Astra Serif" w:cs="Tahoma"/>
          <w:sz w:val="28"/>
          <w:szCs w:val="28"/>
        </w:rPr>
        <w:t>учае, если заказчик не является главным распорядителем бюджетных средств.</w:t>
      </w:r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>К заявке на осуществление закупки прилагается проект контракта, который является ее неотъемлемой частью</w:t>
      </w:r>
      <w:proofErr w:type="gramStart"/>
      <w:r w:rsidRPr="008F3BE7">
        <w:rPr>
          <w:rFonts w:ascii="PT Astra Serif" w:hAnsi="PT Astra Serif" w:cs="Tahoma"/>
          <w:sz w:val="28"/>
          <w:szCs w:val="28"/>
        </w:rPr>
        <w:t>.»;</w:t>
      </w:r>
      <w:proofErr w:type="gramEnd"/>
    </w:p>
    <w:p w:rsidR="008F3BE7" w:rsidRPr="008F3BE7" w:rsidRDefault="008F3BE7" w:rsidP="008F3BE7">
      <w:pPr>
        <w:shd w:val="clear" w:color="auto" w:fill="FFFFFF"/>
        <w:ind w:firstLine="709"/>
        <w:jc w:val="both"/>
        <w:rPr>
          <w:rFonts w:ascii="PT Astra Serif" w:eastAsia="Arial Unicode MS" w:hAnsi="PT Astra Serif" w:cs="Arial Unicode MS"/>
          <w:sz w:val="28"/>
          <w:szCs w:val="24"/>
        </w:rPr>
      </w:pPr>
      <w:r w:rsidRPr="008F3BE7">
        <w:rPr>
          <w:rFonts w:ascii="PT Astra Serif" w:hAnsi="PT Astra Serif" w:cs="Tahoma"/>
          <w:sz w:val="28"/>
          <w:szCs w:val="28"/>
        </w:rPr>
        <w:t>4) подпункт 4.5. пункта 4 изложить в следующей редакции:</w:t>
      </w:r>
    </w:p>
    <w:p w:rsidR="008F3BE7" w:rsidRPr="008F3BE7" w:rsidRDefault="008F3BE7" w:rsidP="008F3BE7">
      <w:pPr>
        <w:pStyle w:val="ConsPlusNormal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 w:cs="Tahoma"/>
          <w:sz w:val="28"/>
          <w:szCs w:val="28"/>
        </w:rPr>
        <w:t xml:space="preserve">«4.5. Уполномоченный орган не вносит изменения в извещение об осуществлении закупки и не осуществляет отмену закупки, в случае если решения, предусмотренные </w:t>
      </w:r>
      <w:hyperlink r:id="rId21" w:anchor="P260" w:history="1">
        <w:r w:rsidRPr="008F3BE7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подпунктом 3.4 пункта 3</w:t>
        </w:r>
      </w:hyperlink>
      <w:r w:rsidRPr="008F3BE7">
        <w:rPr>
          <w:rFonts w:ascii="PT Astra Serif" w:hAnsi="PT Astra Serif" w:cs="Tahoma"/>
          <w:sz w:val="28"/>
          <w:szCs w:val="28"/>
        </w:rPr>
        <w:t xml:space="preserve"> настоящего Порядка, приняты заказчиком с нарушением сроков, установленных законодательством</w:t>
      </w:r>
      <w:proofErr w:type="gramStart"/>
      <w:r w:rsidRPr="008F3BE7">
        <w:rPr>
          <w:rFonts w:ascii="PT Astra Serif" w:hAnsi="PT Astra Serif" w:cs="Tahoma"/>
          <w:sz w:val="28"/>
          <w:szCs w:val="28"/>
        </w:rPr>
        <w:t>.».</w:t>
      </w:r>
      <w:proofErr w:type="gramEnd"/>
    </w:p>
    <w:p w:rsidR="008F3BE7" w:rsidRPr="008F3BE7" w:rsidRDefault="008F3BE7" w:rsidP="008F3BE7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PT Astra Serif" w:hAnsi="PT Astra Serif" w:cs="Tahoma"/>
          <w:sz w:val="28"/>
          <w:szCs w:val="28"/>
        </w:rPr>
      </w:pPr>
      <w:r w:rsidRPr="008F3BE7">
        <w:rPr>
          <w:rFonts w:ascii="PT Astra Serif" w:hAnsi="PT Astra Serif"/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F3BE7" w:rsidRDefault="008F3BE7" w:rsidP="008F3BE7">
      <w:pPr>
        <w:shd w:val="clear" w:color="auto" w:fill="FFFFFF"/>
        <w:jc w:val="both"/>
        <w:rPr>
          <w:rFonts w:ascii="PT Astra Serif" w:hAnsi="PT Astra Serif" w:cs="Tahoma"/>
          <w:sz w:val="28"/>
          <w:szCs w:val="28"/>
        </w:rPr>
      </w:pPr>
    </w:p>
    <w:p w:rsidR="008F3BE7" w:rsidRDefault="008F3BE7" w:rsidP="008F3BE7">
      <w:pPr>
        <w:shd w:val="clear" w:color="auto" w:fill="FFFFFF"/>
        <w:jc w:val="both"/>
        <w:rPr>
          <w:rFonts w:ascii="PT Astra Serif" w:hAnsi="PT Astra Serif" w:cs="Tahoma"/>
          <w:sz w:val="28"/>
          <w:szCs w:val="28"/>
        </w:rPr>
      </w:pPr>
    </w:p>
    <w:p w:rsidR="008F3BE7" w:rsidRDefault="008F3BE7" w:rsidP="008F3BE7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А.В.Белотелов</w:t>
      </w:r>
      <w:proofErr w:type="spellEnd"/>
    </w:p>
    <w:p w:rsidR="008F3BE7" w:rsidRDefault="008F3BE7" w:rsidP="008F3BE7">
      <w:pPr>
        <w:rPr>
          <w:sz w:val="24"/>
          <w:szCs w:val="24"/>
          <w:lang w:eastAsia="x-none"/>
        </w:rPr>
      </w:pPr>
    </w:p>
    <w:p w:rsidR="008F3BE7" w:rsidRDefault="008F3BE7" w:rsidP="008F3BE7">
      <w:pPr>
        <w:rPr>
          <w:rFonts w:hint="eastAsia"/>
          <w:lang w:eastAsia="x-none"/>
        </w:rPr>
      </w:pPr>
    </w:p>
    <w:p w:rsidR="008F3BE7" w:rsidRDefault="008F3BE7" w:rsidP="008F3BE7">
      <w:pPr>
        <w:rPr>
          <w:rFonts w:hint="eastAsia"/>
          <w:lang w:eastAsia="x-none"/>
        </w:rPr>
      </w:pPr>
    </w:p>
    <w:p w:rsidR="008F3BE7" w:rsidRDefault="008F3BE7" w:rsidP="008F3BE7">
      <w:pPr>
        <w:rPr>
          <w:rFonts w:hint="eastAsia"/>
          <w:lang w:eastAsia="x-none"/>
        </w:rPr>
      </w:pPr>
    </w:p>
    <w:p w:rsidR="008F3BE7" w:rsidRDefault="008F3BE7" w:rsidP="008F3BE7">
      <w:pPr>
        <w:rPr>
          <w:rFonts w:hint="eastAsia"/>
          <w:lang w:eastAsia="x-none"/>
        </w:rPr>
      </w:pPr>
    </w:p>
    <w:p w:rsidR="008F3BE7" w:rsidRDefault="008F3BE7" w:rsidP="008F3BE7">
      <w:pPr>
        <w:rPr>
          <w:rFonts w:hint="eastAsia"/>
          <w:lang w:eastAsia="x-none"/>
        </w:rPr>
      </w:pPr>
    </w:p>
    <w:p w:rsidR="00A72C61" w:rsidRPr="00DF3AF6" w:rsidRDefault="00A72C61" w:rsidP="00DF3AF6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A72C61" w:rsidRPr="00DF3AF6" w:rsidSect="00BD421F">
      <w:headerReference w:type="default" r:id="rId22"/>
      <w:pgSz w:w="11906" w:h="16838"/>
      <w:pgMar w:top="1135" w:right="567" w:bottom="1135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6B" w:rsidRDefault="0002796B">
      <w:r>
        <w:separator/>
      </w:r>
    </w:p>
  </w:endnote>
  <w:endnote w:type="continuationSeparator" w:id="0">
    <w:p w:rsidR="0002796B" w:rsidRDefault="0002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6B" w:rsidRDefault="0002796B">
      <w:r>
        <w:separator/>
      </w:r>
    </w:p>
  </w:footnote>
  <w:footnote w:type="continuationSeparator" w:id="0">
    <w:p w:rsidR="0002796B" w:rsidRDefault="0002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77" w:rsidRDefault="00167477" w:rsidP="00167477">
    <w:pPr>
      <w:pStyle w:val="af2"/>
      <w:jc w:val="center"/>
    </w:pPr>
  </w:p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2796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3BE7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0824&amp;dst=1208" TargetMode="External"/><Relationship Id="rId18" Type="http://schemas.openxmlformats.org/officeDocument/2006/relationships/hyperlink" Target="https://login.consultant.ru/link/?req=doc&amp;base=LAW&amp;n=450824&amp;dst=100334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Desktop\&#1085;&#1087;&#1072;%20651&#1080;&#1079;&#1084;&#1077;&#1085;&#1077;&#1085;&#1080;&#1077;%20(2)&#1087;&#1086;&#1089;&#1083;&#1077;%20&#1040;&#1043;&#1047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0824&amp;dst=1178" TargetMode="External"/><Relationship Id="rId17" Type="http://schemas.openxmlformats.org/officeDocument/2006/relationships/hyperlink" Target="https://login.consultant.ru/link/?req=doc&amp;base=LAW&amp;n=450824&amp;dst=22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824&amp;dst=2216" TargetMode="External"/><Relationship Id="rId20" Type="http://schemas.openxmlformats.org/officeDocument/2006/relationships/hyperlink" Target="https://login.consultant.ru/link/?req=doc&amp;base=LAW&amp;n=450824&amp;dst=1004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5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0824&amp;dst=22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0824&amp;dst=100262" TargetMode="External"/><Relationship Id="rId19" Type="http://schemas.openxmlformats.org/officeDocument/2006/relationships/hyperlink" Target="https://login.consultant.ru/link/?req=doc&amp;base=LAW&amp;n=450824&amp;dst=2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824&amp;dst=100290" TargetMode="External"/><Relationship Id="rId14" Type="http://schemas.openxmlformats.org/officeDocument/2006/relationships/hyperlink" Target="https://login.consultant.ru/link/?req=doc&amp;base=LAW&amp;n=4508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278D-11CD-4E73-9D19-9243246D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75</cp:revision>
  <cp:lastPrinted>2024-09-16T04:42:00Z</cp:lastPrinted>
  <dcterms:created xsi:type="dcterms:W3CDTF">2021-09-16T13:51:00Z</dcterms:created>
  <dcterms:modified xsi:type="dcterms:W3CDTF">2024-09-16T04:42:00Z</dcterms:modified>
</cp:coreProperties>
</file>